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3864"/>
          <w:sz w:val="40"/>
          <w:szCs w:val="40"/>
        </w:rPr>
        <w:t xml:space="preserve">ТВОЯ КРАСОТА</w:t>
      </w:r>
    </w:p>
    <w:p>
      <w:pPr>
        <w:spacing w:after="60"/>
      </w:pPr>
      <w:r>
        <w:rPr>
          <w:color w:val="595959"/>
          <w:sz w:val="26"/>
          <w:szCs w:val="26"/>
        </w:rPr>
        <w:t xml:space="preserve">Финансовая модель v3 — анализ рисков убытков</w:t>
      </w:r>
    </w:p>
    <w:p>
      <w:pPr>
        <w:spacing w:after="300"/>
      </w:pPr>
      <w:r>
        <w:rPr>
          <w:i/>
          <w:iCs/>
          <w:color w:val="595959"/>
          <w:sz w:val="21"/>
          <w:szCs w:val="21"/>
        </w:rPr>
        <w:t xml:space="preserve">Разбор ключевых условий, которые нужно соблюсти, чтобы проект не ушёл в минус</w:t>
      </w:r>
    </w:p>
    <w:p>
      <w:pPr>
        <w:pStyle w:val="Heading1"/>
        <w:spacing w:after="160" w:before="320"/>
      </w:pPr>
      <w:r>
        <w:rPr>
          <w:b/>
          <w:bCs/>
          <w:color w:val="1F3864"/>
          <w:sz w:val="30"/>
          <w:szCs w:val="30"/>
        </w:rPr>
        <w:t xml:space="preserve">Что показывает модель</w:t>
      </w:r>
    </w:p>
    <w:p>
      <w:pPr>
        <w:spacing w:after="160" w:line="300"/>
      </w:pPr>
      <w:r>
        <w:rPr>
          <w:sz w:val="22"/>
          <w:szCs w:val="22"/>
        </w:rPr>
        <w:t xml:space="preserve">Модель v3 хорошо связана формулами: меняете один параметр на листе «Входные параметры» — пересчитывается вся воронка, доходы, расходы и прибыль. Но при пересчёте по трём сценариям видна важная картина.</w:t>
      </w:r>
    </w:p>
    <w:tbl>
      <w:tblPr>
        <w:tblW w:type="dxa" w:w="93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1900"/>
        <w:gridCol w:w="1900"/>
        <w:gridCol w:w="1900"/>
      </w:tblGrid>
      <w:tr>
        <w:trPr>
          <w:tblHeader/>
        </w:trPr>
        <w:tc>
          <w:tcPr>
            <w:tcW w:type="dxa" w:w="3600"/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Показатель</w:t>
            </w:r>
          </w:p>
        </w:tc>
        <w:tc>
          <w:tcPr>
            <w:tcW w:type="dxa" w:w="1900"/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Оптимистичный</w:t>
            </w:r>
          </w:p>
        </w:tc>
        <w:tc>
          <w:tcPr>
            <w:tcW w:type="dxa" w:w="1900"/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Реалистичный</w:t>
            </w:r>
          </w:p>
        </w:tc>
        <w:tc>
          <w:tcPr>
            <w:tcW w:type="dxa" w:w="1900"/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Пессимистичный</w:t>
            </w:r>
          </w:p>
        </w:tc>
      </w:tr>
      <w:tr>
        <w:tc>
          <w:tcPr>
            <w:tcW w:type="dxa" w:w="36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Чистая прибыль, ₽</w:t>
            </w:r>
          </w:p>
        </w:tc>
        <w:tc>
          <w:tcPr>
            <w:tcW w:type="dxa" w:w="19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7A34"/>
                <w:sz w:val="20"/>
                <w:szCs w:val="20"/>
              </w:rPr>
              <w:t xml:space="preserve">3 938 479</w:t>
            </w:r>
          </w:p>
        </w:tc>
        <w:tc>
          <w:tcPr>
            <w:tcW w:type="dxa" w:w="19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7A34"/>
                <w:sz w:val="20"/>
                <w:szCs w:val="20"/>
              </w:rPr>
              <w:t xml:space="preserve">718 438</w:t>
            </w:r>
          </w:p>
        </w:tc>
        <w:tc>
          <w:tcPr>
            <w:tcW w:type="dxa" w:w="19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C00000"/>
                <w:sz w:val="20"/>
                <w:szCs w:val="20"/>
              </w:rPr>
              <w:t xml:space="preserve">−2 538 184</w:t>
            </w:r>
          </w:p>
        </w:tc>
      </w:tr>
      <w:tr>
        <w:tc>
          <w:tcPr>
            <w:tcW w:type="dxa" w:w="3600"/>
            <w:shd w:fill="F2F2F2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Прибыль без ТВ-сделки и франшизы, ₽</w:t>
            </w:r>
          </w:p>
        </w:tc>
        <w:tc>
          <w:tcPr>
            <w:tcW w:type="dxa" w:w="1900"/>
            <w:shd w:fill="F2F2F2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C00000"/>
                <w:sz w:val="20"/>
                <w:szCs w:val="20"/>
              </w:rPr>
              <w:t xml:space="preserve">−1 061 521</w:t>
            </w:r>
          </w:p>
        </w:tc>
        <w:tc>
          <w:tcPr>
            <w:tcW w:type="dxa" w:w="1900"/>
            <w:shd w:fill="F2F2F2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C00000"/>
                <w:sz w:val="20"/>
                <w:szCs w:val="20"/>
              </w:rPr>
              <w:t xml:space="preserve">−1 781 563</w:t>
            </w:r>
          </w:p>
        </w:tc>
        <w:tc>
          <w:tcPr>
            <w:tcW w:type="dxa" w:w="1900"/>
            <w:shd w:fill="F2F2F2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C00000"/>
                <w:sz w:val="20"/>
                <w:szCs w:val="20"/>
              </w:rPr>
              <w:t xml:space="preserve">−2 538 184</w:t>
            </w:r>
          </w:p>
        </w:tc>
      </w:tr>
      <w:tr>
        <w:tc>
          <w:tcPr>
            <w:tcW w:type="dxa" w:w="36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Доля спекулятивных доходов (ТВ + франшиза), %</w:t>
            </w:r>
          </w:p>
        </w:tc>
        <w:tc>
          <w:tcPr>
            <w:tcW w:type="dxa" w:w="19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38%</w:t>
            </w:r>
          </w:p>
        </w:tc>
        <w:tc>
          <w:tcPr>
            <w:tcW w:type="dxa" w:w="19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34%</w:t>
            </w:r>
          </w:p>
        </w:tc>
        <w:tc>
          <w:tcPr>
            <w:tcW w:type="dxa" w:w="19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0%</w:t>
            </w:r>
          </w:p>
        </w:tc>
      </w:tr>
      <w:tr>
        <w:tc>
          <w:tcPr>
            <w:tcW w:type="dxa" w:w="3600"/>
            <w:shd w:fill="F2F2F2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ROI</w:t>
            </w:r>
          </w:p>
        </w:tc>
        <w:tc>
          <w:tcPr>
            <w:tcW w:type="dxa" w:w="1900"/>
            <w:shd w:fill="F2F2F2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42%</w:t>
            </w:r>
          </w:p>
        </w:tc>
        <w:tc>
          <w:tcPr>
            <w:tcW w:type="dxa" w:w="1900"/>
            <w:shd w:fill="F2F2F2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11%</w:t>
            </w:r>
          </w:p>
        </w:tc>
        <w:tc>
          <w:tcPr>
            <w:tcW w:type="dxa" w:w="1900"/>
            <w:shd w:fill="F2F2F2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−56%</w:t>
            </w:r>
          </w:p>
        </w:tc>
      </w:tr>
      <w:tr>
        <w:tc>
          <w:tcPr>
            <w:tcW w:type="dxa" w:w="36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Точка безубыточности, кол-во партнёров по 500 тыс ₽</w:t>
            </w:r>
          </w:p>
        </w:tc>
        <w:tc>
          <w:tcPr>
            <w:tcW w:type="dxa" w:w="19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18,7</w:t>
            </w:r>
          </w:p>
        </w:tc>
        <w:tc>
          <w:tcPr>
            <w:tcW w:type="dxa" w:w="19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13,2</w:t>
            </w:r>
          </w:p>
        </w:tc>
        <w:tc>
          <w:tcPr>
            <w:tcW w:type="dxa" w:w="19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sz w:val="20"/>
                <w:szCs w:val="20"/>
              </w:rPr>
              <w:t xml:space="preserve">9,1</w:t>
            </w:r>
          </w:p>
        </w:tc>
      </w:tr>
    </w:tbl>
    <w:p>
      <w:pPr>
        <w:spacing w:after="240" w:before="240"/>
      </w:pPr>
    </w:p>
    <w:tbl>
      <w:tblPr>
        <w:tblW w:type="pct" w:w="100%"/>
        <w:tblBorders>
          <w:top w:val="single" w:color="C00000" w:sz="4"/>
          <w:left w:val="single" w:color="C00000" w:sz="24"/>
          <w:bottom w:val="single" w:color="C00000" w:sz="4"/>
          <w:right w:val="single" w:color="C00000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2F2F2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60"/>
            </w:pPr>
            <w:r>
              <w:rPr>
                <w:b/>
                <w:bCs/>
                <w:color w:val="C00000"/>
                <w:sz w:val="22"/>
                <w:szCs w:val="22"/>
              </w:rPr>
              <w:t xml:space="preserve">Главный вывод</w:t>
            </w:r>
          </w:p>
          <w:p>
            <w:pPr>
              <w:spacing w:after="0" w:line="290"/>
            </w:pPr>
            <w:r>
              <w:rPr>
                <w:sz w:val="21"/>
                <w:szCs w:val="21"/>
              </w:rPr>
              <w:t xml:space="preserve">При реалистичном и даже при оптимистичном сценарии проект убыточен на своей операционной деятельности. В плюс его выводят только доходы от ТВ/стриминговой сделки и продажи франшизы в регионы. Без них — минус в любом сценарии, кроме идеального стечения обстоятельств.</w:t>
            </w:r>
          </w:p>
        </w:tc>
      </w:tr>
    </w:tbl>
    <w:p>
      <w:pPr>
        <w:pStyle w:val="Heading1"/>
        <w:spacing w:after="160" w:before="320"/>
      </w:pPr>
      <w:r>
        <w:rPr>
          <w:b/>
          <w:bCs/>
          <w:color w:val="1F3864"/>
          <w:sz w:val="30"/>
          <w:szCs w:val="30"/>
        </w:rPr>
        <w:t xml:space="preserve">Ключевые критерии, чтобы не уйти в убыток</w:t>
      </w:r>
    </w:p>
    <w:p>
      <w:pPr>
        <w:pStyle w:val="Heading2"/>
        <w:spacing w:after="120" w:before="260"/>
      </w:pPr>
      <w:r>
        <w:rPr>
          <w:b/>
          <w:bCs/>
          <w:color w:val="1F3864"/>
          <w:sz w:val="24"/>
          <w:szCs w:val="24"/>
        </w:rPr>
        <w:t xml:space="preserve">1. Нужна хотя бы одна медиасделка (ТВ/стриминг) или франшиза</w:t>
      </w:r>
    </w:p>
    <w:p>
      <w:pPr>
        <w:spacing w:after="160" w:line="300"/>
      </w:pPr>
      <w:r>
        <w:rPr>
          <w:sz w:val="22"/>
          <w:szCs w:val="22"/>
        </w:rPr>
        <w:t xml:space="preserve">Это не «приятный бонус», а условие выживания проекта. Пока сделка не подписана — это не доход, а надежда. Без неё дыра в бюджете 1–1,8 млн ₽ даже при удачном ходе рекламы.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sz w:val="22"/>
          <w:szCs w:val="22"/>
        </w:rPr>
        <w:t xml:space="preserve">Практический вывод: пока сделка не подписана, планируйте бюджет так, будто её не будет — иначе легко потратить деньги, которых не будет.</w:t>
      </w:r>
    </w:p>
    <w:p>
      <w:pPr>
        <w:pStyle w:val="Heading2"/>
        <w:spacing w:after="120" w:before="260"/>
      </w:pPr>
      <w:r>
        <w:rPr>
          <w:b/>
          <w:bCs/>
          <w:color w:val="1F3864"/>
          <w:sz w:val="24"/>
          <w:szCs w:val="24"/>
        </w:rPr>
        <w:t xml:space="preserve">2. Стоимость привлечения заявки (CPA) не должна вырасти больше чем в 1,5–2 раза</w:t>
      </w:r>
    </w:p>
    <w:p>
      <w:pPr>
        <w:spacing w:after="160" w:line="300"/>
      </w:pPr>
      <w:r>
        <w:rPr>
          <w:sz w:val="22"/>
          <w:szCs w:val="22"/>
        </w:rPr>
        <w:t xml:space="preserve">Стресс-тест в модели прямо это показывает: реалистичный сценарий уходит в минус уже при удвоении цены заявки.</w:t>
      </w:r>
    </w:p>
    <w:tbl>
      <w:tblPr>
        <w:tblW w:type="dxa" w:w="93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300"/>
        <w:gridCol w:w="2300"/>
        <w:gridCol w:w="2300"/>
      </w:tblGrid>
      <w:tr>
        <w:trPr>
          <w:tblHeader/>
        </w:trPr>
        <w:tc>
          <w:tcPr>
            <w:tcW w:type="dxa" w:w="2400"/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Рост CPA</w:t>
            </w:r>
          </w:p>
        </w:tc>
        <w:tc>
          <w:tcPr>
            <w:tcW w:type="dxa" w:w="2300"/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Прибыль, оптимистичный</w:t>
            </w:r>
          </w:p>
        </w:tc>
        <w:tc>
          <w:tcPr>
            <w:tcW w:type="dxa" w:w="2300"/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Прибыль, реалистичный</w:t>
            </w:r>
          </w:p>
        </w:tc>
        <w:tc>
          <w:tcPr>
            <w:tcW w:type="dxa" w:w="2300"/>
            <w:shd w:fill="1F3864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Прибыль, пессимистичный</w:t>
            </w:r>
          </w:p>
        </w:tc>
      </w:tr>
      <w:tr>
        <w:tc>
          <w:tcPr>
            <w:tcW w:type="dxa" w:w="24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Базовый уровень</w:t>
            </w:r>
          </w:p>
        </w:tc>
        <w:tc>
          <w:tcPr>
            <w:tcW w:type="dxa" w:w="23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7A34"/>
                <w:sz w:val="20"/>
                <w:szCs w:val="20"/>
              </w:rPr>
              <w:t xml:space="preserve">3 938 479</w:t>
            </w:r>
          </w:p>
        </w:tc>
        <w:tc>
          <w:tcPr>
            <w:tcW w:type="dxa" w:w="23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7A34"/>
                <w:sz w:val="20"/>
                <w:szCs w:val="20"/>
              </w:rPr>
              <w:t xml:space="preserve">718 438</w:t>
            </w:r>
          </w:p>
        </w:tc>
        <w:tc>
          <w:tcPr>
            <w:tcW w:type="dxa" w:w="23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C00000"/>
                <w:sz w:val="20"/>
                <w:szCs w:val="20"/>
              </w:rPr>
              <w:t xml:space="preserve">−2 538 184</w:t>
            </w:r>
          </w:p>
        </w:tc>
      </w:tr>
      <w:tr>
        <w:tc>
          <w:tcPr>
            <w:tcW w:type="dxa" w:w="2400"/>
            <w:shd w:fill="F2F2F2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× 1,5</w:t>
            </w:r>
          </w:p>
        </w:tc>
        <w:tc>
          <w:tcPr>
            <w:tcW w:type="dxa" w:w="2300"/>
            <w:shd w:fill="F2F2F2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7A34"/>
                <w:sz w:val="20"/>
                <w:szCs w:val="20"/>
              </w:rPr>
              <w:t xml:space="preserve">3 066 957</w:t>
            </w:r>
          </w:p>
        </w:tc>
        <w:tc>
          <w:tcPr>
            <w:tcW w:type="dxa" w:w="2300"/>
            <w:shd w:fill="F2F2F2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7A34"/>
                <w:sz w:val="20"/>
                <w:szCs w:val="20"/>
              </w:rPr>
              <w:t xml:space="preserve">143 162</w:t>
            </w:r>
          </w:p>
        </w:tc>
        <w:tc>
          <w:tcPr>
            <w:tcW w:type="dxa" w:w="2300"/>
            <w:shd w:fill="F2F2F2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C00000"/>
                <w:sz w:val="20"/>
                <w:szCs w:val="20"/>
              </w:rPr>
              <w:t xml:space="preserve">−2 838 771</w:t>
            </w:r>
          </w:p>
        </w:tc>
      </w:tr>
      <w:tr>
        <w:tc>
          <w:tcPr>
            <w:tcW w:type="dxa" w:w="24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× 2,0</w:t>
            </w:r>
          </w:p>
        </w:tc>
        <w:tc>
          <w:tcPr>
            <w:tcW w:type="dxa" w:w="23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7A34"/>
                <w:sz w:val="20"/>
                <w:szCs w:val="20"/>
              </w:rPr>
              <w:t xml:space="preserve">3 066 957</w:t>
            </w:r>
          </w:p>
        </w:tc>
        <w:tc>
          <w:tcPr>
            <w:tcW w:type="dxa" w:w="23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C00000"/>
                <w:sz w:val="20"/>
                <w:szCs w:val="20"/>
              </w:rPr>
              <w:t xml:space="preserve">−250 150</w:t>
            </w:r>
          </w:p>
        </w:tc>
        <w:tc>
          <w:tcPr>
            <w:tcW w:type="dxa" w:w="2300"/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C00000"/>
                <w:sz w:val="20"/>
                <w:szCs w:val="20"/>
              </w:rPr>
              <w:t xml:space="preserve">−2 924 972</w:t>
            </w:r>
          </w:p>
        </w:tc>
      </w:tr>
      <w:tr>
        <w:tc>
          <w:tcPr>
            <w:tcW w:type="dxa" w:w="2400"/>
            <w:shd w:fill="F2F2F2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× 3,0</w:t>
            </w:r>
          </w:p>
        </w:tc>
        <w:tc>
          <w:tcPr>
            <w:tcW w:type="dxa" w:w="2300"/>
            <w:shd w:fill="F2F2F2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1E7A34"/>
                <w:sz w:val="20"/>
                <w:szCs w:val="20"/>
              </w:rPr>
              <w:t xml:space="preserve">3 066 957</w:t>
            </w:r>
          </w:p>
        </w:tc>
        <w:tc>
          <w:tcPr>
            <w:tcW w:type="dxa" w:w="2300"/>
            <w:shd w:fill="F2F2F2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C00000"/>
                <w:sz w:val="20"/>
                <w:szCs w:val="20"/>
              </w:rPr>
              <w:t xml:space="preserve">−643 463</w:t>
            </w:r>
          </w:p>
        </w:tc>
        <w:tc>
          <w:tcPr>
            <w:tcW w:type="dxa" w:w="2300"/>
            <w:shd w:fill="F2F2F2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 w:val="false"/>
                <w:bCs w:val="false"/>
                <w:color w:val="C00000"/>
                <w:sz w:val="20"/>
                <w:szCs w:val="20"/>
              </w:rPr>
              <w:t xml:space="preserve">−3 011 174</w:t>
            </w:r>
          </w:p>
        </w:tc>
      </w:tr>
    </w:tbl>
    <w:p>
      <w:pPr>
        <w:spacing w:after="0" w:before="200"/>
      </w:pP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sz w:val="22"/>
          <w:szCs w:val="22"/>
        </w:rPr>
        <w:t xml:space="preserve">Практический вывод: нужно следить за ценой заявки по каждому каналу (VK, Директ, блогеры) с самого старта, а не постфактум.</w:t>
      </w:r>
    </w:p>
    <w:p>
      <w:pPr>
        <w:pStyle w:val="Heading2"/>
        <w:spacing w:after="120" w:before="260"/>
      </w:pPr>
      <w:r>
        <w:rPr>
          <w:b/>
          <w:bCs/>
          <w:color w:val="1F3864"/>
          <w:sz w:val="24"/>
          <w:szCs w:val="24"/>
        </w:rPr>
        <w:t xml:space="preserve">3. Удержание участниц закрытого клуба — критичный и никак не подтверждённый параметр</w:t>
      </w:r>
    </w:p>
    <w:p>
      <w:pPr>
        <w:spacing w:after="160" w:line="300"/>
      </w:pPr>
      <w:r>
        <w:rPr>
          <w:sz w:val="22"/>
          <w:szCs w:val="22"/>
        </w:rPr>
        <w:t xml:space="preserve">Важный технический момент модели: доход клуба считается от отдельного, независимого предположения (2000 / 1000 / 500 стартовых участниц клуба), а не от реального числа девушек, прошедших воронку проекта (3000 / 3000 / 1391 чел). Модель предполагает определённое число людей в клубе, но не доказывает, откуда они возьмутся.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sz w:val="22"/>
          <w:szCs w:val="22"/>
        </w:rPr>
        <w:t xml:space="preserve">Клуб — самая крупная статья дохода (до 6,5 млн ₽ в оптимистичном сценарии). Если реальный набор в клуб окажется ниже предположения — просядет вся прибыль сильнее, чем от любого другого фактора.</w:t>
      </w:r>
    </w:p>
    <w:p>
      <w:pPr>
        <w:pStyle w:val="Heading2"/>
        <w:spacing w:after="120" w:before="260"/>
      </w:pPr>
      <w:r>
        <w:rPr>
          <w:b/>
          <w:bCs/>
          <w:color w:val="1F3864"/>
          <w:sz w:val="24"/>
          <w:szCs w:val="24"/>
        </w:rPr>
        <w:t xml:space="preserve">4. Партнёрские деньги должны быть подтверждены заранее</w:t>
      </w:r>
    </w:p>
    <w:p>
      <w:pPr>
        <w:spacing w:after="160" w:line="300"/>
      </w:pPr>
      <w:r>
        <w:rPr>
          <w:sz w:val="22"/>
          <w:szCs w:val="22"/>
        </w:rPr>
        <w:t xml:space="preserve">Точка безубыточности — около 13 партнёров уровня 500 тыс ₽ в реалистичном сценарии, то есть нужно закрыть спонсорских контрактов почти на 6,6 млн ₽ только чтобы выйти в ноль.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sz w:val="22"/>
          <w:szCs w:val="22"/>
        </w:rPr>
        <w:t xml:space="preserve">Если на момент запуска подписана лишь часть из заложенных 2 генеральных / 2 официальных / 5 проектных партнёров — реалистичный сценарий сразу сдвигается к пессимистичному.</w:t>
      </w:r>
    </w:p>
    <w:p>
      <w:pPr>
        <w:pStyle w:val="Heading2"/>
        <w:spacing w:after="120" w:before="260"/>
      </w:pPr>
      <w:r>
        <w:rPr>
          <w:b/>
          <w:bCs/>
          <w:color w:val="1F3864"/>
          <w:sz w:val="24"/>
          <w:szCs w:val="24"/>
        </w:rPr>
        <w:t xml:space="preserve">5. Не тратить рекламный бюджет сверх операционного лимита</w:t>
      </w:r>
    </w:p>
    <w:p>
      <w:pPr>
        <w:spacing w:after="160" w:line="300"/>
      </w:pPr>
      <w:r>
        <w:rPr>
          <w:sz w:val="22"/>
          <w:szCs w:val="22"/>
        </w:rPr>
        <w:t xml:space="preserve">В оптимистичном сценарии реклама способна привести заявки, из которых потенциально наберётся 8530 участниц, но операционный лимит — только 3000 человек.</w:t>
      </w:r>
    </w:p>
    <w:p>
      <w:pPr>
        <w:pStyle w:val="ListParagraph"/>
        <w:numPr>
          <w:ilvl w:val="0"/>
          <w:numId w:val="2"/>
        </w:numPr>
        <w:spacing w:after="100" w:line="300"/>
      </w:pPr>
      <w:r>
        <w:rPr>
          <w:sz w:val="22"/>
          <w:szCs w:val="22"/>
        </w:rPr>
        <w:t xml:space="preserve">Часть рекламного бюджета в оптимистичном сценарии тратится на заявки, которые физически некуда девать. Этот бюджет можно перераспределить, например, на спонсорский трафик или удержание клуба.</w:t>
      </w:r>
    </w:p>
    <w:p>
      <w:pPr>
        <w:pStyle w:val="Heading1"/>
        <w:spacing w:after="160" w:before="320"/>
      </w:pPr>
      <w:r>
        <w:rPr>
          <w:b/>
          <w:bCs/>
          <w:color w:val="1F3864"/>
          <w:sz w:val="30"/>
          <w:szCs w:val="30"/>
        </w:rPr>
        <w:t xml:space="preserve">Итог одной фразой</w:t>
      </w:r>
    </w:p>
    <w:tbl>
      <w:tblPr>
        <w:tblW w:type="pct" w:w="100%"/>
        <w:tblBorders>
          <w:top w:val="single" w:color="1F3864" w:sz="4"/>
          <w:left w:val="single" w:color="1F3864" w:sz="24"/>
          <w:bottom w:val="single" w:color="1F3864" w:sz="4"/>
          <w:right w:val="single" w:color="1F3864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2F2F2" w:val="clear"/>
            <w:tcMar>
              <w:top w:type="dxa" w:w="160"/>
              <w:left w:type="dxa" w:w="220"/>
              <w:bottom w:type="dxa" w:w="160"/>
              <w:right w:type="dxa" w:w="220"/>
            </w:tcMar>
          </w:tcPr>
          <w:p>
            <w:pPr>
              <w:spacing w:after="60"/>
            </w:pPr>
            <w:r>
              <w:rPr>
                <w:b/>
                <w:bCs/>
                <w:color w:val="1F3864"/>
                <w:sz w:val="22"/>
                <w:szCs w:val="22"/>
              </w:rPr>
              <w:t xml:space="preserve">Условие прибыльности</w:t>
            </w:r>
          </w:p>
          <w:p>
            <w:pPr>
              <w:spacing w:after="0" w:line="290"/>
            </w:pPr>
            <w:r>
              <w:rPr>
                <w:sz w:val="21"/>
                <w:szCs w:val="21"/>
              </w:rPr>
              <w:t xml:space="preserve">Проект становится прибыльным только при одновременном выполнении четырёх условий: (а) закрыта хотя бы одна медиа/франшизная сделка, (б) стоимость рекламы не взлетает больше чем в 1,5–2 раза, (в) реальный набор в клуб не сильно отстаёт от плановых 1000–2000 человек, и (г) спонсоры подтверждены на сумму, близкую к 13+ партнёрам по 500 тыс ₽. Выпадение любого из этих условий переводит даже «реалистичный» сценарий в убыток.</w:t>
            </w:r>
          </w:p>
        </w:tc>
      </w:tr>
    </w:tbl>
    <w:p>
      <w:pPr>
        <w:spacing w:before="400"/>
      </w:pPr>
      <w:r>
        <w:rPr>
          <w:i/>
          <w:iCs/>
          <w:color w:val="595959"/>
          <w:sz w:val="18"/>
          <w:szCs w:val="18"/>
        </w:rPr>
        <w:t xml:space="preserve">Источник: Финансовая_модель_Твоя_Красота_v3.xlsx (листы «Расчёт (формулы)» и «Сводка»)</w:t>
      </w:r>
    </w:p>
    <w:sectPr>
      <w:pgSz w:w="11906" w:h="16838" w:orient="portrait"/>
      <w:pgMar w:top="1000" w:right="1100" w:bottom="10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2026-07-02T10:20:38.578Z</dcterms:created>
  <dcterms:modified xsi:type="dcterms:W3CDTF">2026-07-02T10:20:38.579Z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