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3864"/>
          <w:sz w:val="40"/>
          <w:szCs w:val="40"/>
        </w:rPr>
        <w:t xml:space="preserve">ТВОЯ КРАСОТА</w:t>
      </w:r>
    </w:p>
    <w:p>
      <w:pPr>
        <w:spacing w:after="60"/>
      </w:pPr>
      <w:r>
        <w:rPr>
          <w:color w:val="595959"/>
          <w:sz w:val="26"/>
          <w:szCs w:val="26"/>
        </w:rPr>
        <w:t xml:space="preserve">Roadmap: путь к безубыточному запуску проекта</w:t>
      </w:r>
    </w:p>
    <w:p>
      <w:pPr>
        <w:spacing w:after="300"/>
      </w:pPr>
      <w:r>
        <w:rPr>
          <w:i/>
          <w:iCs/>
          <w:color w:val="595959"/>
          <w:sz w:val="21"/>
          <w:szCs w:val="21"/>
        </w:rPr>
        <w:t xml:space="preserve">План-график (Гант) и пошаговое текстовое описание действий по этапам</w:t>
      </w:r>
    </w:p>
    <w:p>
      <w:pPr>
        <w:pStyle w:val="Heading1"/>
        <w:spacing w:after="160" w:before="320"/>
      </w:pPr>
      <w:r>
        <w:rPr>
          <w:b/>
          <w:bCs/>
          <w:color w:val="1F3864"/>
          <w:sz w:val="30"/>
          <w:szCs w:val="30"/>
        </w:rPr>
        <w:t xml:space="preserve">Действие № 1 — сделать прямо сейчас</w:t>
      </w:r>
    </w:p>
    <w:p>
      <w:pPr>
        <w:spacing w:after="160" w:line="300"/>
      </w:pPr>
      <w:r>
        <w:rPr>
          <w:sz w:val="22"/>
          <w:szCs w:val="22"/>
        </w:rPr>
        <w:t xml:space="preserve">Уточнение по факту: у проекта нет исторической CPA в классическом смысле. Официального рекламного бюджета и кабинетов не было — во 2 сезоне продвижение шло через личные каналы 3 инициаторов и договорённости с блогерами/ЛОМами без сквозной аналитики. Значит, «выгрузить и посчитать» готовую цифру нельзя — её нужно получить заново, через короткий платный пилот с маркетологом.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sz w:val="22"/>
          <w:szCs w:val="22"/>
        </w:rPr>
        <w:t xml:space="preserve">Шаг 0. Договориться с маркетологом о формате: разовая проектная задача (аудит + тест), стоимость его работы (15 000–40 000 ₽) отдельно от бюджета на сам трафик.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sz w:val="22"/>
          <w:szCs w:val="22"/>
        </w:rPr>
        <w:t xml:space="preserve">Шаг 1. Зафиксировать то, что уже есть: сколько заплачено каждому блогеру/ЛОМу в прошлом сезоне (даже бартер — оценить в ₽) и что от этого получено. Если данных нет вообще — так и зафиксировать.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sz w:val="22"/>
          <w:szCs w:val="22"/>
        </w:rPr>
        <w:t xml:space="preserve">Шаг 2. Выбрать вместе с маркетологом 1–2 площадки для теста (например, VK Реклама + Telegram Ads) — не распылять тест на все каналы сразу.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sz w:val="22"/>
          <w:szCs w:val="22"/>
        </w:rPr>
        <w:t xml:space="preserve">Шаг 3. Настроить сквозную аналитику до запуска рекламы: UTM-метки, пиксель/счётчик, промокоды или слова-триггеры, единая таблица учёта. Без этого шага тест бессмысленен.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sz w:val="22"/>
          <w:szCs w:val="22"/>
        </w:rPr>
        <w:t xml:space="preserve">Шаг 4. Определить тестовый бюджет — 15 000–50 000 ₽ на сам трафик (не гонорар маркетолога). Цель — не собрать много заявок, а узнать честную цену одной.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sz w:val="22"/>
          <w:szCs w:val="22"/>
        </w:rPr>
        <w:t xml:space="preserve">Шаг 5. Запустить тест и не трогать кампанию первые 3–4 дня — рекламным алгоритмам нужно время на обучение.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sz w:val="22"/>
          <w:szCs w:val="22"/>
        </w:rPr>
        <w:t xml:space="preserve">Шаг 6. Как только набралось 20+ заявок — посчитать реальную CPA по каждому каналу отдельно: бюджет ÷ количество заявок.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sz w:val="22"/>
          <w:szCs w:val="22"/>
        </w:rPr>
        <w:t xml:space="preserve">Шаг 7. Пересчитать план на полный бюджет: (бюджет на трафик) ÷ (реальная CPA) — и обязательно указать вилку, а не одну точную цифру, так как CPA растёт при масштабировании.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sz w:val="22"/>
          <w:szCs w:val="22"/>
        </w:rPr>
        <w:t xml:space="preserve">Шаг 8. Заменить «3 млн заявок» в презентации на честную цифру-вилку с пометкой даты и объёма теста, и коротким пояснением про органическое продвижение в прошлом сезоне.</w:t>
      </w:r>
    </w:p>
    <w:tbl>
      <w:tblPr>
        <w:tblW w:type="pct" w:w="100%"/>
        <w:tblBorders>
          <w:top w:val="single" w:color="C00000" w:sz="4"/>
          <w:left w:val="single" w:color="C00000" w:sz="24"/>
          <w:bottom w:val="single" w:color="C00000" w:sz="4"/>
          <w:right w:val="single" w:color="C00000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2F2F2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60"/>
            </w:pPr>
            <w:r>
              <w:rPr>
                <w:b/>
                <w:bCs/>
                <w:color w:val="C00000"/>
                <w:sz w:val="22"/>
                <w:szCs w:val="22"/>
              </w:rPr>
              <w:t xml:space="preserve">Срок и стоимость</w:t>
            </w:r>
          </w:p>
          <w:p>
            <w:pPr>
              <w:spacing w:after="0" w:line="290"/>
            </w:pPr>
            <w:r>
              <w:rPr>
                <w:sz w:val="21"/>
                <w:szCs w:val="21"/>
              </w:rPr>
              <w:t xml:space="preserve">10–12 рабочих дней и 30 000–90 000 ₽ (15 000–40 000 ₽ работа маркетолога + 15 000–50 000 ₽ бюджет теста). Это больше и дороже, чем «разбор готовых кабинетов за 3–5 дней», потому что данные сначала нужно создать, а не просто выгрузить.</w:t>
            </w:r>
          </w:p>
        </w:tc>
      </w:tr>
    </w:tbl>
    <w:p>
      <w:pPr>
        <w:spacing w:after="0" w:before="300"/>
      </w:pPr>
    </w:p>
    <w:p>
      <w:pPr>
        <w:pStyle w:val="Heading1"/>
        <w:spacing w:after="160" w:before="320"/>
      </w:pPr>
      <w:r>
        <w:rPr>
          <w:b/>
          <w:bCs/>
          <w:color w:val="1F3864"/>
          <w:sz w:val="30"/>
          <w:szCs w:val="30"/>
        </w:rPr>
        <w:t xml:space="preserve">Обзор этапов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700"/>
        <w:gridCol w:w="4200"/>
      </w:tblGrid>
      <w:tr>
        <w:trPr>
          <w:tblHeader/>
        </w:trPr>
        <w:tc>
          <w:tcPr>
            <w:tcW w:type="dxa" w:w="34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Этап</w:t>
            </w:r>
          </w:p>
        </w:tc>
        <w:tc>
          <w:tcPr>
            <w:tcW w:type="dxa" w:w="17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Срок</w:t>
            </w:r>
          </w:p>
        </w:tc>
        <w:tc>
          <w:tcPr>
            <w:tcW w:type="dxa" w:w="42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Главная цель</w:t>
            </w:r>
          </w:p>
        </w:tc>
      </w:tr>
      <w:tr>
        <w:tc>
          <w:tcPr>
            <w:tcW w:type="dxa" w:w="34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Этап 0 — Подтверждение цифр</w:t>
            </w:r>
          </w:p>
        </w:tc>
        <w:tc>
          <w:tcPr>
            <w:tcW w:type="dxa" w:w="17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Недели 1–2</w:t>
            </w:r>
          </w:p>
        </w:tc>
        <w:tc>
          <w:tcPr>
            <w:tcW w:type="dxa" w:w="42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Получить честные цифры по CPA, бюджету и статусу партнёров</w:t>
            </w:r>
          </w:p>
        </w:tc>
      </w:tr>
      <w:tr>
        <w:tc>
          <w:tcPr>
            <w:tcW w:type="dxa" w:w="34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Этап 1 — Финансовая защита</w:t>
            </w:r>
          </w:p>
        </w:tc>
        <w:tc>
          <w:tcPr>
            <w:tcW w:type="dxa" w:w="17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Недели 1–6</w:t>
            </w:r>
          </w:p>
        </w:tc>
        <w:tc>
          <w:tcPr>
            <w:tcW w:type="dxa" w:w="42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Закрыть риски финмодели: CPA, клуб, партнёры, медиа-сделка</w:t>
            </w:r>
          </w:p>
        </w:tc>
      </w:tr>
      <w:tr>
        <w:tc>
          <w:tcPr>
            <w:tcW w:type="dxa" w:w="34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Этап 2 — Упаковка и переговоры</w:t>
            </w:r>
          </w:p>
        </w:tc>
        <w:tc>
          <w:tcPr>
            <w:tcW w:type="dxa" w:w="17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Недели 2–8</w:t>
            </w:r>
          </w:p>
        </w:tc>
        <w:tc>
          <w:tcPr>
            <w:tcW w:type="dxa" w:w="42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Подготовить презентации, юридику, собрать деньги партнёров</w:t>
            </w:r>
          </w:p>
        </w:tc>
      </w:tr>
      <w:tr>
        <w:tc>
          <w:tcPr>
            <w:tcW w:type="dxa" w:w="34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Этап 3 — Go/No-Go и запуск</w:t>
            </w:r>
          </w:p>
        </w:tc>
        <w:tc>
          <w:tcPr>
            <w:tcW w:type="dxa" w:w="17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Недели 8–12</w:t>
            </w:r>
          </w:p>
        </w:tc>
        <w:tc>
          <w:tcPr>
            <w:tcW w:type="dxa" w:w="42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Проверить контрольные точки и запустить кампанию</w:t>
            </w:r>
          </w:p>
        </w:tc>
      </w:tr>
    </w:tbl>
    <w:p>
      <w:pPr>
        <w:spacing w:after="260" w:before="260"/>
      </w:pPr>
    </w:p>
    <w:p>
      <w:pPr>
        <w:pStyle w:val="Heading1"/>
        <w:spacing w:after="160" w:before="320"/>
      </w:pPr>
      <w:r>
        <w:rPr>
          <w:b/>
          <w:bCs/>
          <w:color w:val="1F3864"/>
          <w:sz w:val="30"/>
          <w:szCs w:val="30"/>
        </w:rPr>
        <w:t xml:space="preserve">План-график (диаграмма Ганта)</w:t>
      </w:r>
    </w:p>
    <w:p>
      <w:pPr>
        <w:spacing w:after="200"/>
      </w:pPr>
      <w:r>
        <w:drawing>
          <wp:inline distT="0" distB="0" distL="0" distR="0">
            <wp:extent cx="5905500" cy="36957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 w:line="300"/>
      </w:pPr>
      <w:r>
        <w:rPr>
          <w:i/>
          <w:iCs/>
          <w:color w:val="595959"/>
          <w:sz w:val="20"/>
          <w:szCs w:val="20"/>
        </w:rPr>
        <w:t xml:space="preserve">Недели считаются от старта работы над проектом (неделя 0). Пунктирная линия на 8-й неделе — контрольная точка Go/No-Go: полномасштабный запуск рекламной кампании возможен только после её прохождения.</w:t>
      </w:r>
    </w:p>
    <w:p>
      <w:pPr>
        <w:pStyle w:val="Heading1"/>
        <w:spacing w:after="160" w:before="320"/>
      </w:pPr>
      <w:r>
        <w:rPr>
          <w:b/>
          <w:bCs/>
          <w:color w:val="1F3864"/>
          <w:sz w:val="30"/>
          <w:szCs w:val="30"/>
        </w:rPr>
        <w:t xml:space="preserve">Текстовое описание roadmap по этапам</w:t>
      </w:r>
    </w:p>
    <w:p>
      <w:pPr>
        <w:pStyle w:val="Heading2"/>
        <w:spacing w:after="120" w:before="260"/>
      </w:pPr>
      <w:r>
        <w:rPr>
          <w:b/>
          <w:bCs/>
          <w:color w:val="C00000"/>
          <w:sz w:val="24"/>
          <w:szCs w:val="24"/>
        </w:rPr>
        <w:t xml:space="preserve">Этап 0. Подтверждение цифр (недели 1–2)</w:t>
      </w:r>
    </w:p>
    <w:p>
      <w:pPr>
        <w:spacing w:after="160" w:line="300"/>
      </w:pPr>
      <w:r>
        <w:rPr>
          <w:sz w:val="22"/>
          <w:szCs w:val="22"/>
        </w:rPr>
        <w:t xml:space="preserve">Цель — получить факты, а не предположения, от людей, которые реально принимают решения по проекту.</w:t>
      </w:r>
    </w:p>
    <w:p>
      <w:pPr>
        <w:pStyle w:val="ListParagraph"/>
        <w:numPr>
          <w:ilvl w:val="0"/>
          <w:numId w:val="3"/>
        </w:numPr>
        <w:spacing w:after="100" w:line="300"/>
      </w:pPr>
      <w:r>
        <w:rPr>
          <w:sz w:val="22"/>
          <w:szCs w:val="22"/>
        </w:rPr>
        <w:t xml:space="preserve">Назначить 2–3 встречи по 1 часу на этой неделе с организаторами.</w:t>
      </w:r>
    </w:p>
    <w:p>
      <w:pPr>
        <w:pStyle w:val="ListParagraph"/>
        <w:numPr>
          <w:ilvl w:val="0"/>
          <w:numId w:val="3"/>
        </w:numPr>
        <w:spacing w:after="100" w:line="300"/>
      </w:pPr>
      <w:r>
        <w:rPr>
          <w:sz w:val="22"/>
          <w:szCs w:val="22"/>
        </w:rPr>
        <w:t xml:space="preserve">Пройти три блока вопросов: доходы и монетизация, расходы и операционка, маркетинг и воронка продаж.</w:t>
      </w:r>
    </w:p>
    <w:p>
      <w:pPr>
        <w:pStyle w:val="ListParagraph"/>
        <w:numPr>
          <w:ilvl w:val="0"/>
          <w:numId w:val="3"/>
        </w:numPr>
        <w:spacing w:after="100" w:line="300"/>
      </w:pPr>
      <w:r>
        <w:rPr>
          <w:sz w:val="22"/>
          <w:szCs w:val="22"/>
        </w:rPr>
        <w:t xml:space="preserve">Зафиксировать все ответы письменно в общем документе — не полагаться на память или устные договорённости.</w:t>
      </w:r>
    </w:p>
    <w:p>
      <w:pPr>
        <w:pStyle w:val="ListParagraph"/>
        <w:numPr>
          <w:ilvl w:val="0"/>
          <w:numId w:val="3"/>
        </w:numPr>
        <w:spacing w:after="100" w:line="300"/>
      </w:pPr>
      <w:r>
        <w:rPr>
          <w:sz w:val="22"/>
          <w:szCs w:val="22"/>
        </w:rPr>
        <w:t xml:space="preserve">Параллельно выполнить Действие №1 — пересчёт CPA и бюджета на трафик.</w:t>
      </w:r>
    </w:p>
    <w:p>
      <w:pPr>
        <w:pStyle w:val="Heading2"/>
        <w:spacing w:after="120" w:before="260"/>
      </w:pPr>
      <w:r>
        <w:rPr>
          <w:b/>
          <w:bCs/>
          <w:color w:val="ED7D31"/>
          <w:sz w:val="24"/>
          <w:szCs w:val="24"/>
        </w:rPr>
        <w:t xml:space="preserve">Этап 1. Финансовая защита (недели 1–6)</w:t>
      </w:r>
    </w:p>
    <w:p>
      <w:pPr>
        <w:spacing w:after="160" w:line="300"/>
      </w:pPr>
      <w:r>
        <w:rPr>
          <w:sz w:val="22"/>
          <w:szCs w:val="22"/>
        </w:rPr>
        <w:t xml:space="preserve">Цель — внедрить процессы, которые не дадут проекту уйти в минус, пока он развивается.</w:t>
      </w:r>
    </w:p>
    <w:p>
      <w:pPr>
        <w:pStyle w:val="ListParagraph"/>
        <w:numPr>
          <w:ilvl w:val="0"/>
          <w:numId w:val="3"/>
        </w:numPr>
        <w:spacing w:after="100" w:line="300"/>
      </w:pPr>
      <w:r>
        <w:rPr>
          <w:sz w:val="22"/>
          <w:szCs w:val="22"/>
        </w:rPr>
        <w:t xml:space="preserve">Начать переговоры о ТВ-сделке или франшизе на этой неделе — назначить ответственного и дедлайн (около 4 недель) на получение хотя бы предварительного письма о намерениях (LOI).</w:t>
      </w:r>
    </w:p>
    <w:p>
      <w:pPr>
        <w:pStyle w:val="ListParagraph"/>
        <w:numPr>
          <w:ilvl w:val="0"/>
          <w:numId w:val="3"/>
        </w:numPr>
        <w:spacing w:after="100" w:line="300"/>
      </w:pPr>
      <w:r>
        <w:rPr>
          <w:sz w:val="22"/>
          <w:szCs w:val="22"/>
        </w:rPr>
        <w:t xml:space="preserve">Завести таблицу мониторинга CPA по каналам с еженедельным обновлением и порогом остановки при росте цены заявки на 30–50% от плана — данные пойдут туда сразу после пилотного теста (Действие №1, шаги 5–6).</w:t>
      </w:r>
    </w:p>
    <w:p>
      <w:pPr>
        <w:pStyle w:val="ListParagraph"/>
        <w:numPr>
          <w:ilvl w:val="0"/>
          <w:numId w:val="3"/>
        </w:numPr>
        <w:spacing w:after="100" w:line="300"/>
      </w:pPr>
      <w:r>
        <w:rPr>
          <w:sz w:val="22"/>
          <w:szCs w:val="22"/>
        </w:rPr>
        <w:t xml:space="preserve">Заложить в бюджет отдельную строку «Пилотный тест CPA» — 30 000–90 000 ₽, отдельно от статьи «Реклама/трафик» на полномасштабную кампанию.</w:t>
      </w:r>
    </w:p>
    <w:p>
      <w:pPr>
        <w:pStyle w:val="ListParagraph"/>
        <w:numPr>
          <w:ilvl w:val="0"/>
          <w:numId w:val="3"/>
        </w:numPr>
        <w:spacing w:after="100" w:line="300"/>
      </w:pPr>
      <w:r>
        <w:rPr>
          <w:sz w:val="22"/>
          <w:szCs w:val="22"/>
        </w:rPr>
        <w:t xml:space="preserve">Принять решение по модели монетизации клуба: платный или бесплатный, что входит, сколько стоит — до того, как в презентации появится цифра «1000–2000 участниц».</w:t>
      </w:r>
    </w:p>
    <w:p>
      <w:pPr>
        <w:pStyle w:val="ListParagraph"/>
        <w:numPr>
          <w:ilvl w:val="0"/>
          <w:numId w:val="3"/>
        </w:numPr>
        <w:spacing w:after="100" w:line="300"/>
      </w:pPr>
      <w:r>
        <w:rPr>
          <w:sz w:val="22"/>
          <w:szCs w:val="22"/>
        </w:rPr>
        <w:t xml:space="preserve">Завести реестр партнёров: бренд → стадия (холодный контакт / переговоры / договор отправлен / договор подписан / деньги получены) → сумма. Обновлять раз в неделю.</w:t>
      </w:r>
    </w:p>
    <w:p>
      <w:pPr>
        <w:pStyle w:val="Heading2"/>
        <w:spacing w:after="120" w:before="260"/>
      </w:pPr>
      <w:r>
        <w:rPr>
          <w:b/>
          <w:bCs/>
          <w:color w:val="1F3864"/>
          <w:sz w:val="24"/>
          <w:szCs w:val="24"/>
        </w:rPr>
        <w:t xml:space="preserve">Этап 2. Упаковка и переговоры (недели 2–8)</w:t>
      </w:r>
    </w:p>
    <w:p>
      <w:pPr>
        <w:spacing w:after="160" w:line="300"/>
      </w:pPr>
      <w:r>
        <w:rPr>
          <w:sz w:val="22"/>
          <w:szCs w:val="22"/>
        </w:rPr>
        <w:t xml:space="preserve">Цель — подготовить материалы и юридическую базу для переговоров с Газпром-Медиа и бизнес-партнёрами, параллельно продолжая собирать партнёрские деньги.</w:t>
      </w:r>
    </w:p>
    <w:p>
      <w:pPr>
        <w:pStyle w:val="ListParagraph"/>
        <w:numPr>
          <w:ilvl w:val="0"/>
          <w:numId w:val="3"/>
        </w:numPr>
        <w:spacing w:after="100" w:line="300"/>
      </w:pPr>
      <w:r>
        <w:rPr>
          <w:sz w:val="22"/>
          <w:szCs w:val="22"/>
        </w:rPr>
        <w:t xml:space="preserve">Подготовить 2 отдельные версии презентации: медиа-версия (для Газпрома, акцент на охватах и синергии) и инвестиционная версия (для бизнеса, акцент на цифрах воронки и ROI).</w:t>
      </w:r>
    </w:p>
    <w:p>
      <w:pPr>
        <w:pStyle w:val="ListParagraph"/>
        <w:numPr>
          <w:ilvl w:val="0"/>
          <w:numId w:val="3"/>
        </w:numPr>
        <w:spacing w:after="100" w:line="300"/>
      </w:pPr>
      <w:r>
        <w:rPr>
          <w:sz w:val="22"/>
          <w:szCs w:val="22"/>
        </w:rPr>
        <w:t xml:space="preserve">Собрать факты о команде (конкретные ТВ-кейсы, а не только имена) для отдельного слайда.</w:t>
      </w:r>
    </w:p>
    <w:p>
      <w:pPr>
        <w:pStyle w:val="ListParagraph"/>
        <w:numPr>
          <w:ilvl w:val="0"/>
          <w:numId w:val="3"/>
        </w:numPr>
        <w:spacing w:after="100" w:line="300"/>
      </w:pPr>
      <w:r>
        <w:rPr>
          <w:sz w:val="22"/>
          <w:szCs w:val="22"/>
        </w:rPr>
        <w:t xml:space="preserve">Получить письменное юридическое подтверждение прав на использование цитат и имён звёзд (Самбурская, Асти) в рекламе.</w:t>
      </w:r>
    </w:p>
    <w:p>
      <w:pPr>
        <w:pStyle w:val="ListParagraph"/>
        <w:numPr>
          <w:ilvl w:val="0"/>
          <w:numId w:val="3"/>
        </w:numPr>
        <w:spacing w:after="100" w:line="300"/>
      </w:pPr>
      <w:r>
        <w:rPr>
          <w:sz w:val="22"/>
          <w:szCs w:val="22"/>
        </w:rPr>
        <w:t xml:space="preserve">Добавить в презентацию блок рисков: что будет, если заявок или партнёров окажется меньше плана.</w:t>
      </w:r>
    </w:p>
    <w:p>
      <w:pPr>
        <w:pStyle w:val="ListParagraph"/>
        <w:numPr>
          <w:ilvl w:val="0"/>
          <w:numId w:val="3"/>
        </w:numPr>
        <w:spacing w:after="100" w:line="300"/>
      </w:pPr>
      <w:r>
        <w:rPr>
          <w:sz w:val="22"/>
          <w:szCs w:val="22"/>
        </w:rPr>
        <w:t xml:space="preserve">Прописать exit-стратегию — во что проект превращается через 3–5 лет (франшиза в регионах, сеть клубов).</w:t>
      </w:r>
    </w:p>
    <w:p>
      <w:pPr>
        <w:pStyle w:val="ListParagraph"/>
        <w:numPr>
          <w:ilvl w:val="0"/>
          <w:numId w:val="3"/>
        </w:numPr>
        <w:spacing w:after="100" w:line="300"/>
      </w:pPr>
      <w:r>
        <w:rPr>
          <w:sz w:val="22"/>
          <w:szCs w:val="22"/>
        </w:rPr>
        <w:t xml:space="preserve">Собирать партнёрские деньги с целью закрыть 60–70% точки безубыточности (~4–4,5 млн ₽ подписанных контрактов) до конца этапа.</w:t>
      </w:r>
    </w:p>
    <w:p>
      <w:pPr>
        <w:pStyle w:val="Heading2"/>
        <w:spacing w:after="120" w:before="260"/>
      </w:pPr>
      <w:r>
        <w:rPr>
          <w:b/>
          <w:bCs/>
          <w:color w:val="1E7A34"/>
          <w:sz w:val="24"/>
          <w:szCs w:val="24"/>
        </w:rPr>
        <w:t xml:space="preserve">Этап 3. Go/No-Go и запуск (недели 8–12)</w:t>
      </w:r>
    </w:p>
    <w:p>
      <w:pPr>
        <w:spacing w:after="160" w:line="300"/>
      </w:pPr>
      <w:r>
        <w:rPr>
          <w:sz w:val="22"/>
          <w:szCs w:val="22"/>
        </w:rPr>
        <w:t xml:space="preserve">Цель — не запускать полномасштабную рекламную кампанию, пока не выполнены условия безопасного старта.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300"/>
        <w:gridCol w:w="2000"/>
      </w:tblGrid>
      <w:tr>
        <w:trPr>
          <w:tblHeader/>
        </w:trPr>
        <w:tc>
          <w:tcPr>
            <w:tcW w:type="dxa" w:w="7300"/>
            <w:shd w:fill="1E7A3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Условие запуска (Go/No-Go)</w:t>
            </w:r>
          </w:p>
        </w:tc>
        <w:tc>
          <w:tcPr>
            <w:tcW w:type="dxa" w:w="2000"/>
            <w:shd w:fill="1E7A3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Статус</w:t>
            </w:r>
          </w:p>
        </w:tc>
      </w:tr>
      <w:tr>
        <w:tc>
          <w:tcPr>
            <w:tcW w:type="dxa" w:w="73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Реалистичная цифра заявок пересчитана по факт. CPA</w:t>
            </w:r>
          </w:p>
        </w:tc>
        <w:tc>
          <w:tcPr>
            <w:tcW w:type="dxa" w:w="20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73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Партнёрскими деньгами закрыто ≥60–70% точки безубыточности</w:t>
            </w:r>
          </w:p>
        </w:tc>
        <w:tc>
          <w:tcPr>
            <w:tcW w:type="dxa" w:w="20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73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Получено LOI хотя бы по одной медиа/франшизной сделке</w:t>
            </w:r>
          </w:p>
        </w:tc>
        <w:tc>
          <w:tcPr>
            <w:tcW w:type="dxa" w:w="20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73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Определена и утверждена модель монетизации клуба</w:t>
            </w:r>
          </w:p>
        </w:tc>
        <w:tc>
          <w:tcPr>
            <w:tcW w:type="dxa" w:w="20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73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Настроен еженедельный дашборд CPA и лимита заявок</w:t>
            </w:r>
          </w:p>
        </w:tc>
        <w:tc>
          <w:tcPr>
            <w:tcW w:type="dxa" w:w="20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</w:tr>
    </w:tbl>
    <w:p>
      <w:pPr>
        <w:spacing w:after="160" w:line="300"/>
      </w:pPr>
      <w:r>
        <w:rPr>
          <w:i/>
          <w:iCs/>
          <w:sz w:val="22"/>
          <w:szCs w:val="22"/>
        </w:rPr>
        <w:t xml:space="preserve">Практически: встреча ответственных лиц, на которой каждый пункт отмечается «выполнено / не выполнено». Запуск кампании возможен, когда всё выполнено — либо когда по конкретному невыполненному пункту осознанно принят риск.</w:t>
      </w:r>
    </w:p>
    <w:p>
      <w:pPr>
        <w:pStyle w:val="Heading1"/>
        <w:spacing w:after="160" w:before="320"/>
      </w:pPr>
      <w:r>
        <w:rPr>
          <w:b/>
          <w:bCs/>
          <w:color w:val="1F3864"/>
          <w:sz w:val="30"/>
          <w:szCs w:val="30"/>
        </w:rPr>
        <w:t xml:space="preserve">Итог</w:t>
      </w:r>
    </w:p>
    <w:tbl>
      <w:tblPr>
        <w:tblW w:type="pct" w:w="100%"/>
        <w:tblBorders>
          <w:top w:val="single" w:color="1F3864" w:sz="4"/>
          <w:left w:val="single" w:color="1F3864" w:sz="24"/>
          <w:bottom w:val="single" w:color="1F3864" w:sz="4"/>
          <w:right w:val="single" w:color="1F3864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2F2F2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60"/>
            </w:pPr>
            <w:r>
              <w:rPr>
                <w:b/>
                <w:bCs/>
                <w:color w:val="1F3864"/>
                <w:sz w:val="22"/>
                <w:szCs w:val="22"/>
              </w:rPr>
              <w:t xml:space="preserve">Главное правило</w:t>
            </w:r>
          </w:p>
          <w:p>
            <w:pPr>
              <w:spacing w:after="0" w:line="290"/>
            </w:pPr>
            <w:r>
              <w:rPr>
                <w:sz w:val="21"/>
                <w:szCs w:val="21"/>
              </w:rPr>
              <w:t xml:space="preserve">Ни один рубль на полномасштабную рекламную кампанию не тратится, пока цифра заявок не пересчитана по факту, а партнёрские деньги не покрывают большую часть точки безубыточности. Всё остальное — это подготовка почвы, чтобы к неделе 8–9 проект стартовал не с гипотезами, а с фактами.</w:t>
            </w:r>
          </w:p>
        </w:tc>
      </w:tr>
    </w:tbl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ce7e693a786c52160a30d5e2b6c29d18484b9919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2026-07-03T07:54:27.605Z</dcterms:created>
  <dcterms:modified xsi:type="dcterms:W3CDTF">2026-07-03T07:54:27.618Z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